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76B76059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94178">
        <w:rPr>
          <w:b/>
          <w:color w:val="FF5200" w:themeColor="accent2"/>
          <w:sz w:val="36"/>
          <w:szCs w:val="36"/>
        </w:rPr>
        <w:t>nabídky</w:t>
      </w:r>
      <w:r w:rsidR="0031280B" w:rsidRPr="00D94178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D94178">
        <w:rPr>
          <w:b/>
          <w:color w:val="FF5200" w:themeColor="accent2"/>
          <w:sz w:val="36"/>
          <w:szCs w:val="36"/>
        </w:rPr>
        <w:t>„</w:t>
      </w:r>
      <w:r w:rsidR="00616D48" w:rsidRPr="00D94178">
        <w:rPr>
          <w:b/>
          <w:color w:val="FF5200" w:themeColor="accent2"/>
          <w:sz w:val="36"/>
          <w:szCs w:val="36"/>
        </w:rPr>
        <w:t>Diagnostika a přepočty strategických přemostění</w:t>
      </w:r>
      <w:r w:rsidR="001E03C6" w:rsidRPr="00D94178">
        <w:rPr>
          <w:b/>
          <w:color w:val="FF5200" w:themeColor="accent2"/>
          <w:sz w:val="36"/>
          <w:szCs w:val="36"/>
        </w:rPr>
        <w:t xml:space="preserve"> v obvodu OŘ HKR – I. etapa</w:t>
      </w:r>
      <w:r w:rsidR="000D3F51" w:rsidRPr="00D9417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2E6C3E69" w:rsidR="00F507BD" w:rsidRDefault="001F27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1DE9FC5D" w:rsidR="00F507BD" w:rsidRDefault="001F27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22E44B90" w:rsidR="00F507BD" w:rsidRDefault="001F27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558736B9" w:rsidR="00F507BD" w:rsidRDefault="001F27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49069058" w:rsidR="00F507BD" w:rsidRDefault="001F27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5AE856BE" w:rsidR="00F507BD" w:rsidRDefault="001F2788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507BD"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385539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D94178">
      <w:pPr>
        <w:jc w:val="both"/>
      </w:pPr>
    </w:p>
    <w:p w14:paraId="0191CDFC" w14:textId="5BB82762" w:rsidR="00A93A74" w:rsidRDefault="00A93A74" w:rsidP="00D94178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  <w:bookmarkStart w:id="1" w:name="_GoBack"/>
      <w:bookmarkEnd w:id="1"/>
    </w:p>
    <w:p w14:paraId="0C532D43" w14:textId="77777777" w:rsidR="00852ECA" w:rsidRDefault="00852ECA" w:rsidP="00D94178">
      <w:pPr>
        <w:jc w:val="both"/>
      </w:pPr>
    </w:p>
    <w:p w14:paraId="2915FC32" w14:textId="77777777" w:rsidR="008B1A2C" w:rsidRPr="008B1A2C" w:rsidRDefault="00C228EE" w:rsidP="00D94178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D94178">
      <w:pPr>
        <w:tabs>
          <w:tab w:val="left" w:pos="7125"/>
        </w:tabs>
        <w:jc w:val="both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D94178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D94178">
      <w:pPr>
        <w:tabs>
          <w:tab w:val="left" w:pos="7125"/>
        </w:tabs>
        <w:spacing w:after="0"/>
        <w:jc w:val="both"/>
      </w:pPr>
    </w:p>
    <w:p w14:paraId="797DDCCC" w14:textId="77777777" w:rsidR="009771C9" w:rsidRDefault="009771C9" w:rsidP="00D94178">
      <w:pPr>
        <w:tabs>
          <w:tab w:val="left" w:pos="7125"/>
        </w:tabs>
        <w:spacing w:after="0"/>
        <w:jc w:val="both"/>
      </w:pPr>
      <w:r>
        <w:t>(pokud na výše uvedenou otázku odpověděl dodavatel kladně)</w:t>
      </w:r>
    </w:p>
    <w:p w14:paraId="6C8C6B5A" w14:textId="77777777" w:rsidR="00654420" w:rsidRDefault="00654420" w:rsidP="00D94178">
      <w:pPr>
        <w:tabs>
          <w:tab w:val="left" w:pos="7125"/>
        </w:tabs>
        <w:spacing w:after="0"/>
        <w:jc w:val="both"/>
      </w:pPr>
    </w:p>
    <w:p w14:paraId="275A9598" w14:textId="77777777" w:rsidR="000D3F51" w:rsidRDefault="00A93A74" w:rsidP="00D94178">
      <w:pPr>
        <w:tabs>
          <w:tab w:val="left" w:pos="7125"/>
        </w:tabs>
        <w:spacing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112D5446" w:rsidR="000D3F51" w:rsidRDefault="000D3F51" w:rsidP="00996617">
      <w:pPr>
        <w:tabs>
          <w:tab w:val="left" w:pos="7125"/>
        </w:tabs>
        <w:spacing w:after="0"/>
      </w:pPr>
    </w:p>
    <w:p w14:paraId="1306A9D2" w14:textId="4BBAAC59" w:rsidR="004731B1" w:rsidRDefault="004731B1" w:rsidP="00996617">
      <w:pPr>
        <w:tabs>
          <w:tab w:val="left" w:pos="7125"/>
        </w:tabs>
        <w:spacing w:after="0"/>
      </w:pPr>
    </w:p>
    <w:p w14:paraId="53729F35" w14:textId="3E7B9528" w:rsidR="004731B1" w:rsidRDefault="004731B1" w:rsidP="00996617">
      <w:pPr>
        <w:tabs>
          <w:tab w:val="left" w:pos="7125"/>
        </w:tabs>
        <w:spacing w:after="0"/>
      </w:pPr>
    </w:p>
    <w:p w14:paraId="2615F63A" w14:textId="181767BE" w:rsidR="004731B1" w:rsidRDefault="004731B1" w:rsidP="00996617">
      <w:pPr>
        <w:tabs>
          <w:tab w:val="left" w:pos="7125"/>
        </w:tabs>
        <w:spacing w:after="0"/>
      </w:pPr>
    </w:p>
    <w:p w14:paraId="54F3A9E5" w14:textId="77777777" w:rsidR="004731B1" w:rsidRDefault="004731B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F278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F2788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D94178">
      <w:pPr>
        <w:jc w:val="both"/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48430A40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 w:rsidR="00BF22C7">
        <w:rPr>
          <w:szCs w:val="22"/>
          <w:lang w:eastAsia="cs-CZ"/>
        </w:rPr>
        <w:t xml:space="preserve"> k ZZVZ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D94178">
      <w:pPr>
        <w:jc w:val="both"/>
        <w:rPr>
          <w:lang w:eastAsia="cs-CZ"/>
        </w:rPr>
      </w:pPr>
    </w:p>
    <w:p w14:paraId="5FC7DD59" w14:textId="77777777" w:rsidR="0031280B" w:rsidRDefault="0031280B" w:rsidP="00D94178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8554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D94178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5A294E99" w:rsidR="0031280B" w:rsidRPr="00A035EA" w:rsidRDefault="0031280B" w:rsidP="00D9417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</w:t>
      </w:r>
      <w:r w:rsidR="00D94178">
        <w:rPr>
          <w:rFonts w:eastAsia="Times New Roman" w:cs="Times New Roman"/>
          <w:lang w:eastAsia="cs-CZ"/>
        </w:rPr>
        <w:t>ou vyplývat z nepravdivosti zde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103855401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6" w:name="_Toc102994134"/>
      <w:bookmarkStart w:id="7" w:name="_Toc103855402"/>
      <w:r w:rsidRPr="00C15E30">
        <w:lastRenderedPageBreak/>
        <w:t>Čestné prohlášení účastníka</w:t>
      </w:r>
      <w:r>
        <w:t xml:space="preserve"> o střetu zájmů</w:t>
      </w:r>
      <w:bookmarkEnd w:id="6"/>
      <w:bookmarkEnd w:id="7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77777777" w:rsidR="00C1150E" w:rsidRPr="00A327CB" w:rsidRDefault="00C1150E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2FB8A824" w14:textId="77777777" w:rsidR="00C1150E" w:rsidRPr="00A327CB" w:rsidRDefault="00C1150E" w:rsidP="00D94178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D94178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D94178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D94178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D94178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D94178">
      <w:pPr>
        <w:jc w:val="both"/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4298284D" w14:textId="77777777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038554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E5994FC" w14:textId="3C21CDA3" w:rsidR="00037ECF" w:rsidRPr="00037EC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037EC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037ECF">
        <w:rPr>
          <w:rFonts w:eastAsia="Calibri" w:cs="Times New Roman"/>
        </w:rPr>
        <w:t xml:space="preserve"> </w:t>
      </w:r>
      <w:r w:rsidRPr="00037ECF">
        <w:rPr>
          <w:rFonts w:eastAsia="Calibri" w:cs="Times New Roman"/>
          <w:b/>
        </w:rPr>
        <w:t>nejsou</w:t>
      </w:r>
      <w:r w:rsidRPr="00037EC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037ECF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037EC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2DB5661C" w14:textId="77777777" w:rsidR="00037ECF" w:rsidRPr="007F769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231AFC7E" w14:textId="77777777" w:rsidR="00037ECF" w:rsidRPr="007F769F" w:rsidRDefault="00037ECF" w:rsidP="00037ECF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804952F" w14:textId="5D5529B7" w:rsidR="00317B63" w:rsidRDefault="00037ECF" w:rsidP="00037ECF">
      <w:pPr>
        <w:rPr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79A596" w14:textId="77777777" w:rsidR="00037ECF" w:rsidRDefault="00037ECF" w:rsidP="00037ECF">
      <w:pPr>
        <w:rPr>
          <w:lang w:eastAsia="cs-CZ"/>
        </w:rPr>
      </w:pPr>
    </w:p>
    <w:sectPr w:rsidR="00037ECF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44C37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5ACD07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03E444BD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672DA887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3F9D14E1" w14:textId="5DA720C7" w:rsidR="00421416" w:rsidRDefault="001E03C6" w:rsidP="001E03C6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823A9F9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78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272E374F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330CA5C5" w14:textId="77777777" w:rsidR="00037ECF" w:rsidRDefault="00037ECF" w:rsidP="00037ECF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074048C4" w14:textId="77777777" w:rsidR="00037ECF" w:rsidRDefault="00037ECF" w:rsidP="00037ECF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483444A5" w14:textId="77777777" w:rsidR="00037ECF" w:rsidRDefault="00037ECF" w:rsidP="00037ECF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83A45AF" w14:textId="77777777" w:rsidR="00037ECF" w:rsidRDefault="00037ECF" w:rsidP="00037ECF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0E9018F4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4919FBF7" w14:textId="77777777" w:rsidR="00037ECF" w:rsidRPr="00EB54C9" w:rsidRDefault="00037ECF" w:rsidP="00037ECF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13"/>
  </w:num>
  <w:num w:numId="37">
    <w:abstractNumId w:val="2"/>
  </w:num>
  <w:num w:numId="3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E03C6"/>
    <w:rsid w:val="001F2788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E291E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731B1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24A4D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BF22C7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D46"/>
    <w:rsid w:val="00D831A3"/>
    <w:rsid w:val="00D94178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1B375F-A047-492C-9ADF-766D4537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7</Pages>
  <Words>1171</Words>
  <Characters>6910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7</cp:revision>
  <cp:lastPrinted>2017-11-28T17:18:00Z</cp:lastPrinted>
  <dcterms:created xsi:type="dcterms:W3CDTF">2022-09-08T11:32:00Z</dcterms:created>
  <dcterms:modified xsi:type="dcterms:W3CDTF">2022-09-13T06:47:00Z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